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800"/>
      </w:pPr>
      <w:r>
        <w:rPr>
          <w:b/>
          <w:bCs/>
          <w:color w:val="1B2A4A"/>
          <w:sz w:val="40"/>
          <w:szCs w:val="40"/>
        </w:rPr>
        <w:t xml:space="preserve">IDENTITY AFTER THE UNIFORM</w:t>
      </w:r>
    </w:p>
    <w:p>
      <w:pPr>
        <w:spacing w:after="300"/>
      </w:pPr>
      <w:r>
        <w:rPr>
          <w:i/>
          <w:iCs/>
          <w:color w:val="9C7A3C"/>
          <w:sz w:val="26"/>
          <w:szCs w:val="26"/>
        </w:rPr>
        <w:t xml:space="preserve">Emerging Findings from the Identity After the Uniform Research Programme</w:t>
      </w:r>
    </w:p>
    <w:p>
      <w:pPr>
        <w:spacing w:after="160" w:line="300"/>
      </w:pPr>
      <w:r>
        <w:rPr>
          <w:color w:val="222222"/>
          <w:sz w:val="22"/>
          <w:szCs w:val="22"/>
        </w:rPr>
        <w:t xml:space="preserve">Gemma Gardner · Founder, AURIS Identity System™ · Originator of Identity Performance Psychology</w:t>
      </w:r>
    </w:p>
    <w:p>
      <w:pPr>
        <w:spacing w:after="160" w:line="300"/>
      </w:pPr>
      <w:r>
        <w:rPr>
          <w:color w:val="222222"/>
          <w:sz w:val="22"/>
          <w:szCs w:val="22"/>
        </w:rPr>
        <w:t xml:space="preserve">Knowledge Hub Briefing · July 2026</w:t>
      </w:r>
    </w:p>
    <w:p>
      <w:pPr>
        <w:pBdr>
          <w:left w:val="single" w:color="9C7A3C" w:sz="18" w:space="8"/>
        </w:pBdr>
        <w:shd w:fill="F2EFE8" w:val="clear"/>
        <w:spacing w:after="200" w:before="100" w:line="280"/>
        <w:ind w:left="200"/>
      </w:pPr>
      <w:r>
        <w:rPr>
          <w:i/>
          <w:iCs/>
          <w:color w:val="5A5A5A"/>
          <w:sz w:val="20"/>
          <w:szCs w:val="20"/>
        </w:rPr>
        <w:t xml:space="preserve">Status: This briefing presents emerging qualitative findings from 22 of 108 planned in-depth interviews. Coding of the remaining interviews is ongoing. These findings are original, emerging evidence — not a validated or peer-reviewed result — and should be read alongside the published Identity Performance Psychology papers (Zenodo, CC BY 4.0) for full context and evidence controls.</w:t>
      </w:r>
    </w:p>
    <w:p>
      <w:pPr>
        <w:pStyle w:val="Heading1"/>
        <w:spacing w:after="200" w:before="400"/>
      </w:pPr>
      <w:r>
        <w:rPr>
          <w:b/>
          <w:bCs/>
          <w:color w:val="1B2A4A"/>
          <w:sz w:val="30"/>
          <w:szCs w:val="30"/>
        </w:rPr>
        <w:t xml:space="preserve">Executive Summary</w:t>
      </w:r>
    </w:p>
    <w:p>
      <w:pPr>
        <w:spacing w:after="160" w:line="300"/>
      </w:pPr>
      <w:r>
        <w:rPr>
          <w:color w:val="222222"/>
          <w:sz w:val="22"/>
          <w:szCs w:val="22"/>
        </w:rPr>
        <w:t xml:space="preserve">The Identity After the Uniform project is a longitudinal qualitative research programme examining how people rebuild a sense of self after leaving a role that shaped their identity — beginning with military service leavers and extending to emergency services, elite sport, and other high-performance or identity-defining occupations.</w:t>
      </w:r>
    </w:p>
    <w:p>
      <w:pPr>
        <w:spacing w:after="160" w:line="300"/>
      </w:pPr>
      <w:r>
        <w:rPr>
          <w:color w:val="222222"/>
          <w:sz w:val="22"/>
          <w:szCs w:val="22"/>
        </w:rPr>
        <w:t xml:space="preserve">Twenty-two in-depth interviews have been recorded, transcribed and coded to date, out of 108 planned across the full programme. Interviewees include veterans, military spouses and children, currently serving personnel, and — deliberately — people whose identity disruption had nothing to do with a uniform at all, to test whether the underlying pattern is military-specific or human.</w:t>
      </w:r>
    </w:p>
    <w:p>
      <w:pPr>
        <w:spacing w:after="160" w:line="300"/>
      </w:pPr>
      <w:r>
        <w:rPr>
          <w:color w:val="222222"/>
          <w:sz w:val="22"/>
          <w:szCs w:val="22"/>
        </w:rPr>
        <w:t xml:space="preserve">Across this early dataset, a consistent pattern is emerging: interventions aimed only at the presenting problem — a job, a diagnosis, a housing issue — did not, on their own, appear to restore a stable sense of self. Where interviewees described lasting stability, it tended to follow a broader sequence: rebuilding a sense of identity, reconnecting with a community, and finding a purpose that gave the new identity somewhere to go.</w:t>
      </w:r>
    </w:p>
    <w:p>
      <w:pPr>
        <w:pBdr>
          <w:left w:val="single" w:color="9C7A3C" w:sz="18" w:space="8"/>
        </w:pBdr>
        <w:shd w:fill="F2EFE8" w:val="clear"/>
        <w:spacing w:after="200" w:before="100" w:line="280"/>
        <w:ind w:left="200"/>
      </w:pPr>
      <w:r>
        <w:rPr>
          <w:i/>
          <w:iCs/>
          <w:color w:val="5A5A5A"/>
          <w:sz w:val="20"/>
          <w:szCs w:val="20"/>
        </w:rPr>
        <w:t xml:space="preserve">This sequence — Identity → Community → Purpose → Stability — is an emerging pattern from 22 of 108 planned interviews, not a proven causal model. Several interviews depart from it in instructive ways (see 'Where the Pattern Doesn't Hold', below). Coding is ongoing and this finding will be revisited as the full 108-interview dataset is analysed.</w:t>
      </w:r>
    </w:p>
    <w:p>
      <w:pPr>
        <w:pStyle w:val="Heading1"/>
        <w:spacing w:after="200" w:before="400"/>
      </w:pPr>
      <w:r>
        <w:rPr>
          <w:b/>
          <w:bCs/>
          <w:color w:val="1B2A4A"/>
          <w:sz w:val="30"/>
          <w:szCs w:val="30"/>
        </w:rPr>
        <w:t xml:space="preserve">About the Research Programme</w:t>
      </w:r>
    </w:p>
    <w:p>
      <w:pPr>
        <w:spacing w:after="160" w:line="300"/>
      </w:pPr>
      <w:r>
        <w:rPr>
          <w:color w:val="222222"/>
          <w:sz w:val="22"/>
          <w:szCs w:val="22"/>
        </w:rPr>
        <w:t xml:space="preserve">The programme sits within the wider Identity After the Uniform project, founded by Gemma Gardner and grounded in her original conceptual framework, Identity Performance Psychology. It combines this qualitative interview series with a review of published literature in military psychology, occupational health, sociology, behavioural science and neuroscience, set out in full in the Proof of Concept research paper and the Parliamentary Evidence Review (both available via Zenodo, CC BY 4.0).</w:t>
      </w:r>
    </w:p>
    <w:p>
      <w:pPr>
        <w:spacing w:after="160" w:line="300"/>
      </w:pPr>
      <w:r>
        <w:rPr>
          <w:color w:val="222222"/>
          <w:sz w:val="22"/>
          <w:szCs w:val="22"/>
        </w:rPr>
        <w:t xml:space="preserve">The AURIS framework — the applied structure built on this research — organises identity reconstruction into five pillars: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400"/>
        <w:gridCol w:w="6600"/>
      </w:tblGrid>
      <w:tr>
        <w:tc>
          <w:tcPr>
            <w:tcW w:type="dxa" w:w="2400"/>
            <w:shd w:fill="EFE9DD" w:val="clear"/>
            <w:tcMar>
              <w:top w:type="dxa" w:w="100"/>
              <w:left w:type="dxa" w:w="150"/>
              <w:bottom w:type="dxa" w:w="100"/>
              <w:right w:type="dxa" w:w="150"/>
            </w:tcMar>
          </w:tcPr>
          <w:p>
            <w:r>
              <w:rPr>
                <w:b/>
                <w:bCs/>
                <w:color w:val="1B2A4A"/>
                <w:sz w:val="21"/>
                <w:szCs w:val="21"/>
              </w:rPr>
              <w:t xml:space="preserve">Awareness</w:t>
            </w:r>
          </w:p>
        </w:tc>
        <w:tc>
          <w:tcPr>
            <w:tcW w:type="dxa" w:w="6600"/>
            <w:tcMar>
              <w:top w:type="dxa" w:w="100"/>
              <w:left w:type="dxa" w:w="150"/>
              <w:bottom w:type="dxa" w:w="100"/>
              <w:right w:type="dxa" w:w="150"/>
            </w:tcMar>
          </w:tcPr>
          <w:p>
            <w:r>
              <w:rPr>
                <w:color w:val="222222"/>
                <w:sz w:val="21"/>
                <w:szCs w:val="21"/>
              </w:rPr>
              <w:t xml:space="preserve">Recognising that something has shifted, and being honest about where you actually are.</w:t>
            </w:r>
          </w:p>
        </w:tc>
      </w:tr>
      <w:tr>
        <w:tc>
          <w:tcPr>
            <w:tcW w:type="dxa" w:w="2400"/>
            <w:shd w:fill="EFE9DD" w:val="clear"/>
            <w:tcMar>
              <w:top w:type="dxa" w:w="100"/>
              <w:left w:type="dxa" w:w="150"/>
              <w:bottom w:type="dxa" w:w="100"/>
              <w:right w:type="dxa" w:w="150"/>
            </w:tcMar>
          </w:tcPr>
          <w:p>
            <w:r>
              <w:rPr>
                <w:b/>
                <w:bCs/>
                <w:color w:val="1B2A4A"/>
                <w:sz w:val="21"/>
                <w:szCs w:val="21"/>
              </w:rPr>
              <w:t xml:space="preserve">Understanding</w:t>
            </w:r>
          </w:p>
        </w:tc>
        <w:tc>
          <w:tcPr>
            <w:tcW w:type="dxa" w:w="6600"/>
            <w:tcMar>
              <w:top w:type="dxa" w:w="100"/>
              <w:left w:type="dxa" w:w="150"/>
              <w:bottom w:type="dxa" w:w="100"/>
              <w:right w:type="dxa" w:w="150"/>
            </w:tcMar>
          </w:tcPr>
          <w:p>
            <w:r>
              <w:rPr>
                <w:color w:val="222222"/>
                <w:sz w:val="21"/>
                <w:szCs w:val="21"/>
              </w:rPr>
              <w:t xml:space="preserve">Making sense of the patterns, reactions and behaviours that have emerged.</w:t>
            </w:r>
          </w:p>
        </w:tc>
      </w:tr>
      <w:tr>
        <w:tc>
          <w:tcPr>
            <w:tcW w:type="dxa" w:w="2400"/>
            <w:shd w:fill="EFE9DD" w:val="clear"/>
            <w:tcMar>
              <w:top w:type="dxa" w:w="100"/>
              <w:left w:type="dxa" w:w="150"/>
              <w:bottom w:type="dxa" w:w="100"/>
              <w:right w:type="dxa" w:w="150"/>
            </w:tcMar>
          </w:tcPr>
          <w:p>
            <w:r>
              <w:rPr>
                <w:b/>
                <w:bCs/>
                <w:color w:val="1B2A4A"/>
                <w:sz w:val="21"/>
                <w:szCs w:val="21"/>
              </w:rPr>
              <w:t xml:space="preserve">Regulation</w:t>
            </w:r>
          </w:p>
        </w:tc>
        <w:tc>
          <w:tcPr>
            <w:tcW w:type="dxa" w:w="6600"/>
            <w:tcMar>
              <w:top w:type="dxa" w:w="100"/>
              <w:left w:type="dxa" w:w="150"/>
              <w:bottom w:type="dxa" w:w="100"/>
              <w:right w:type="dxa" w:w="150"/>
            </w:tcMar>
          </w:tcPr>
          <w:p>
            <w:r>
              <w:rPr>
                <w:color w:val="222222"/>
                <w:sz w:val="21"/>
                <w:szCs w:val="21"/>
              </w:rPr>
              <w:t xml:space="preserve">Getting steady before asking anything of the mind — body first.</w:t>
            </w:r>
          </w:p>
        </w:tc>
      </w:tr>
      <w:tr>
        <w:tc>
          <w:tcPr>
            <w:tcW w:type="dxa" w:w="2400"/>
            <w:shd w:fill="EFE9DD" w:val="clear"/>
            <w:tcMar>
              <w:top w:type="dxa" w:w="100"/>
              <w:left w:type="dxa" w:w="150"/>
              <w:bottom w:type="dxa" w:w="100"/>
              <w:right w:type="dxa" w:w="150"/>
            </w:tcMar>
          </w:tcPr>
          <w:p>
            <w:r>
              <w:rPr>
                <w:b/>
                <w:bCs/>
                <w:color w:val="1B2A4A"/>
                <w:sz w:val="21"/>
                <w:szCs w:val="21"/>
              </w:rPr>
              <w:t xml:space="preserve">Identity</w:t>
            </w:r>
          </w:p>
        </w:tc>
        <w:tc>
          <w:tcPr>
            <w:tcW w:type="dxa" w:w="6600"/>
            <w:tcMar>
              <w:top w:type="dxa" w:w="100"/>
              <w:left w:type="dxa" w:w="150"/>
              <w:bottom w:type="dxa" w:w="100"/>
              <w:right w:type="dxa" w:w="150"/>
            </w:tcMar>
          </w:tcPr>
          <w:p>
            <w:r>
              <w:rPr>
                <w:color w:val="222222"/>
                <w:sz w:val="21"/>
                <w:szCs w:val="21"/>
              </w:rPr>
              <w:t xml:space="preserve">Rebuilding a clear, grounded sense of who you are now.</w:t>
            </w:r>
          </w:p>
        </w:tc>
      </w:tr>
      <w:tr>
        <w:tc>
          <w:tcPr>
            <w:tcW w:type="dxa" w:w="2400"/>
            <w:shd w:fill="EFE9DD" w:val="clear"/>
            <w:tcMar>
              <w:top w:type="dxa" w:w="100"/>
              <w:left w:type="dxa" w:w="150"/>
              <w:bottom w:type="dxa" w:w="100"/>
              <w:right w:type="dxa" w:w="150"/>
            </w:tcMar>
          </w:tcPr>
          <w:p>
            <w:r>
              <w:rPr>
                <w:b/>
                <w:bCs/>
                <w:color w:val="1B2A4A"/>
                <w:sz w:val="21"/>
                <w:szCs w:val="21"/>
              </w:rPr>
              <w:t xml:space="preserve">Stability</w:t>
            </w:r>
          </w:p>
        </w:tc>
        <w:tc>
          <w:tcPr>
            <w:tcW w:type="dxa" w:w="6600"/>
            <w:tcMar>
              <w:top w:type="dxa" w:w="100"/>
              <w:left w:type="dxa" w:w="150"/>
              <w:bottom w:type="dxa" w:w="100"/>
              <w:right w:type="dxa" w:w="150"/>
            </w:tcMar>
          </w:tcPr>
          <w:p>
            <w:r>
              <w:rPr>
                <w:color w:val="222222"/>
                <w:sz w:val="21"/>
                <w:szCs w:val="21"/>
              </w:rPr>
              <w:t xml:space="preserve">Sustaining the new identity through consistent daily practice.</w:t>
            </w:r>
          </w:p>
        </w:tc>
      </w:tr>
    </w:tbl>
    <w:p>
      <w:pPr>
        <w:spacing w:after="160" w:line="300"/>
      </w:pPr>
      <w:r>
        <w:rPr>
          <w:color w:val="222222"/>
          <w:sz w:val="22"/>
          <w:szCs w:val="22"/>
        </w:rPr>
        <w:t xml:space="preserve"/>
      </w:r>
    </w:p>
    <w:p>
      <w:pPr>
        <w:spacing w:after="160" w:line="300"/>
      </w:pPr>
      <w:r>
        <w:rPr>
          <w:color w:val="222222"/>
          <w:sz w:val="22"/>
          <w:szCs w:val="22"/>
        </w:rPr>
        <w:t xml:space="preserve">Interviewees are drawn from a deliberately wide population: veterans across different lengths and types of service, military spouses and children, currently serving personnel approaching transition, and non-military comparators — including guests whose identity disruption arose from disability, redundancy, addiction recovery, or public office rather than uniformed service. This range is intended to test whether the mechanisms observed are specific to military transition or reflect a broader pattern of identity loss after any role that has come to define a person.</w:t>
      </w:r>
    </w:p>
    <w:p>
      <w:pPr>
        <w:pStyle w:val="Heading1"/>
        <w:spacing w:after="200" w:before="400"/>
      </w:pPr>
      <w:r>
        <w:rPr>
          <w:b/>
          <w:bCs/>
          <w:color w:val="1B2A4A"/>
          <w:sz w:val="30"/>
          <w:szCs w:val="30"/>
        </w:rPr>
        <w:t xml:space="preserve">What the Interviews Are Showing</w:t>
      </w:r>
    </w:p>
    <w:p>
      <w:pPr>
        <w:pStyle w:val="Heading2"/>
        <w:spacing w:after="150" w:before="300"/>
      </w:pPr>
      <w:r>
        <w:rPr>
          <w:b/>
          <w:bCs/>
          <w:color w:val="1B2A4A"/>
          <w:sz w:val="24"/>
          <w:szCs w:val="24"/>
        </w:rPr>
        <w:t xml:space="preserve">A consistent starting point: the role becomes the self</w:t>
      </w:r>
    </w:p>
    <w:p>
      <w:pPr>
        <w:spacing w:after="160" w:line="300"/>
      </w:pPr>
      <w:r>
        <w:rPr>
          <w:color w:val="222222"/>
          <w:sz w:val="22"/>
          <w:szCs w:val="22"/>
        </w:rPr>
        <w:t xml:space="preserve">Across the interviews to date, a recurring theme is that highly structured, all-consuming roles — military service, but also emergency response, competitive sport, and other high-performance careers — don't just provide employment. They construct identity: shared language, shared purpose, a built-in community and a clear marker of who a person is. When the role ends, interviewees frequently describe the loss as far larger than the loss of a job.</w:t>
      </w:r>
    </w:p>
    <w:p>
      <w:pPr>
        <w:pStyle w:val="Heading2"/>
        <w:spacing w:after="150" w:before="300"/>
      </w:pPr>
      <w:r>
        <w:rPr>
          <w:b/>
          <w:bCs/>
          <w:color w:val="1B2A4A"/>
          <w:sz w:val="24"/>
          <w:szCs w:val="24"/>
        </w:rPr>
        <w:t xml:space="preserve">Awareness is often delayed, not immediate</w:t>
      </w:r>
    </w:p>
    <w:p>
      <w:pPr>
        <w:spacing w:after="160" w:line="300"/>
      </w:pPr>
      <w:r>
        <w:rPr>
          <w:color w:val="222222"/>
          <w:sz w:val="22"/>
          <w:szCs w:val="22"/>
        </w:rPr>
        <w:t xml:space="preserve">A striking pattern across this dataset is that the realisation of identity loss frequently does not arrive at the point of leaving. Several interviewees describe a gap — sometimes years — between the transition itself and the point at which they recognised what had actually happened to their sense of self. This delayed-awareness pattern has implications for when and how support is offered, since a person may appear outwardly settled while the underlying disruption is still unresolved.</w:t>
      </w:r>
    </w:p>
    <w:p>
      <w:pPr>
        <w:pStyle w:val="Heading2"/>
        <w:spacing w:after="150" w:before="300"/>
      </w:pPr>
      <w:r>
        <w:rPr>
          <w:b/>
          <w:bCs/>
          <w:color w:val="1B2A4A"/>
          <w:sz w:val="24"/>
          <w:szCs w:val="24"/>
        </w:rPr>
        <w:t xml:space="preserve">Regulation tools vary widely, and internal anchors are less common than external ones</w:t>
      </w:r>
    </w:p>
    <w:p>
      <w:pPr>
        <w:spacing w:after="160" w:line="300"/>
      </w:pPr>
      <w:r>
        <w:rPr>
          <w:color w:val="222222"/>
          <w:sz w:val="22"/>
          <w:szCs w:val="22"/>
        </w:rPr>
        <w:t xml:space="preserve">Interviewees describe a wide range of ways they steadied themselves during the hardest periods — physical activity, faith, routine, preparation, humour, relationships. A pattern worth noting: anchors that were external (a role, a relationship, an activity) were more common in this dataset than anchors that were internally generated and independent of circumstance. Where an external anchor was removed or interrupted, several interviewees described renewed instability — suggesting internal, portable regulation strategies may be an area worth strengthening in any future intervention. The dataset's richest single account of this pattern involves a interviewee who named a specific, deliberate cognitive shift as the turning point in a serious personal crisis — illustrating that regulation can be a chosen, practised act rather than something that simply happens with time.</w:t>
      </w:r>
    </w:p>
    <w:p>
      <w:pPr>
        <w:pStyle w:val="Heading2"/>
        <w:spacing w:after="150" w:before="300"/>
      </w:pPr>
      <w:r>
        <w:rPr>
          <w:b/>
          <w:bCs/>
          <w:color w:val="1B2A4A"/>
          <w:sz w:val="24"/>
          <w:szCs w:val="24"/>
        </w:rPr>
        <w:t xml:space="preserve">Identity can carry more than one kind of disruption at once</w:t>
      </w:r>
    </w:p>
    <w:p>
      <w:pPr>
        <w:spacing w:after="160" w:line="300"/>
      </w:pPr>
      <w:r>
        <w:rPr>
          <w:color w:val="222222"/>
          <w:sz w:val="22"/>
          <w:szCs w:val="22"/>
        </w:rPr>
        <w:t xml:space="preserve">At least one interview in this dataset illustrates what can be described as compound identity disruption — where a role-based transition (leaving a uniformed career) overlapped with an entirely separate, unprocessed identity transition running underneath it. In this case, the interviewee described continuing to seek out high-intensity operational environments after leaving service, describing them as a kind of identity homecoming rather than a career choice. This suggests that for some people, the visible transition (leaving a role) may not be the only, or even the primary, identity disruption at play — a nuance that a purely role-focused support model could miss.</w:t>
      </w:r>
    </w:p>
    <w:p>
      <w:pPr>
        <w:pStyle w:val="Heading2"/>
        <w:spacing w:after="150" w:before="300"/>
      </w:pPr>
      <w:r>
        <w:rPr>
          <w:b/>
          <w:bCs/>
          <w:color w:val="1B2A4A"/>
          <w:sz w:val="24"/>
          <w:szCs w:val="24"/>
        </w:rPr>
        <w:t xml:space="preserve">The emerging sequence: Identity, then Community, then Purpose, then Stability</w:t>
      </w:r>
    </w:p>
    <w:p>
      <w:pPr>
        <w:spacing w:after="160" w:line="300"/>
      </w:pPr>
      <w:r>
        <w:rPr>
          <w:color w:val="222222"/>
          <w:sz w:val="22"/>
          <w:szCs w:val="22"/>
        </w:rPr>
        <w:t xml:space="preserve">The clearest pattern across the 22 interviews coded so far is that stability rarely appeared to follow directly from solving the presenting problem alone. Where interviewees described a durable sense of having 'landed' again, it typically followed a sequence: first some reconstruction of identity (a clearer answer to 'who am I now'), then reconnection with a community, then a purpose that gave that identity direction — with stability following as an outcome of that combination, rather than being pursued directly.</w:t>
      </w:r>
    </w:p>
    <w:p>
      <w:pPr>
        <w:pBdr>
          <w:left w:val="single" w:color="9C7A3C" w:sz="18" w:space="8"/>
        </w:pBdr>
        <w:shd w:fill="F2EFE8" w:val="clear"/>
        <w:spacing w:after="200" w:before="100" w:line="280"/>
        <w:ind w:left="200"/>
      </w:pPr>
      <w:r>
        <w:rPr>
          <w:i/>
          <w:iCs/>
          <w:color w:val="5A5A5A"/>
          <w:sz w:val="20"/>
          <w:szCs w:val="20"/>
        </w:rPr>
        <w:t xml:space="preserve">Denominator and status: this sequence is drawn from 22 of 108 planned interviews. It is an emerging pattern under active coding, not a validated finding, and it should not be presented or cited as proven or generalisable until the full dataset has been analysed and independently reviewed.</w:t>
      </w:r>
    </w:p>
    <w:p>
      <w:pPr>
        <w:pStyle w:val="Heading1"/>
        <w:spacing w:after="200" w:before="400"/>
      </w:pPr>
      <w:r>
        <w:rPr>
          <w:b/>
          <w:bCs/>
          <w:color w:val="1B2A4A"/>
          <w:sz w:val="30"/>
          <w:szCs w:val="30"/>
        </w:rPr>
        <w:t xml:space="preserve">Where the Pattern Doesn't Hold</w:t>
      </w:r>
    </w:p>
    <w:p>
      <w:pPr>
        <w:spacing w:after="160" w:line="300"/>
      </w:pPr>
      <w:r>
        <w:rPr>
          <w:color w:val="222222"/>
          <w:sz w:val="22"/>
          <w:szCs w:val="22"/>
        </w:rPr>
        <w:t xml:space="preserve">Good evidence practice means reporting disconfirming cases alongside the pattern, not just the interviews that fit it. Within the 22 interviews coded so far:</w:t>
      </w:r>
    </w:p>
    <w:p>
      <w:pPr>
        <w:pStyle w:val="ListParagraph"/>
        <w:numPr>
          <w:ilvl w:val="0"/>
          <w:numId w:val="1"/>
        </w:numPr>
        <w:spacing w:after="100" w:line="280"/>
      </w:pPr>
      <w:r>
        <w:rPr>
          <w:color w:val="222222"/>
          <w:sz w:val="22"/>
          <w:szCs w:val="22"/>
        </w:rPr>
        <w:t xml:space="preserve">A small number of interviewees described identity as portable and largely intact through their transition — their sense of self was never primarily built on the uniformed role, so its ending did not trigger the same disruption seen elsewhere in the dataset.</w:t>
      </w:r>
    </w:p>
    <w:p>
      <w:pPr>
        <w:pStyle w:val="ListParagraph"/>
        <w:numPr>
          <w:ilvl w:val="0"/>
          <w:numId w:val="1"/>
        </w:numPr>
        <w:spacing w:after="100" w:line="280"/>
      </w:pPr>
      <w:r>
        <w:rPr>
          <w:color w:val="222222"/>
          <w:sz w:val="22"/>
          <w:szCs w:val="22"/>
        </w:rPr>
        <w:t xml:space="preserve">At least one interviewee had prepared for years in advance of leaving and reported no significant identity disruption at all — suggesting pre-emptive identity work before a transition may function as a protective factor, which would sit outside the Identity → Community → Purpose → Stability sequence as currently framed.</w:t>
      </w:r>
    </w:p>
    <w:p>
      <w:pPr>
        <w:pStyle w:val="ListParagraph"/>
        <w:numPr>
          <w:ilvl w:val="0"/>
          <w:numId w:val="1"/>
        </w:numPr>
        <w:spacing w:after="100" w:line="280"/>
      </w:pPr>
      <w:r>
        <w:rPr>
          <w:color w:val="222222"/>
          <w:sz w:val="22"/>
          <w:szCs w:val="22"/>
        </w:rPr>
        <w:t xml:space="preserve">For some interviewees, stability appeared to be sustained primarily through continued activity or role-replication rather than through the fuller sequence described above — raising an open question as to whether this represents a genuinely different pathway or a less durable version of the same one.</w:t>
      </w:r>
    </w:p>
    <w:p>
      <w:pPr>
        <w:spacing w:after="160" w:line="300"/>
      </w:pPr>
      <w:r>
        <w:rPr>
          <w:color w:val="222222"/>
          <w:sz w:val="22"/>
          <w:szCs w:val="22"/>
        </w:rPr>
        <w:t xml:space="preserve">These cases are treated as part of the evidence base, not as noise to be excluded. They will shape how the model is tested as coding continues across the remaining interviews.</w:t>
      </w:r>
    </w:p>
    <w:p>
      <w:pPr>
        <w:pStyle w:val="Heading1"/>
        <w:spacing w:after="200" w:before="400"/>
      </w:pPr>
      <w:r>
        <w:rPr>
          <w:b/>
          <w:bCs/>
          <w:color w:val="1B2A4A"/>
          <w:sz w:val="30"/>
          <w:szCs w:val="30"/>
        </w:rPr>
        <w:t xml:space="preserve">What This Means — With Appropriate Caution</w:t>
      </w:r>
    </w:p>
    <w:p>
      <w:pPr>
        <w:spacing w:after="160" w:line="300"/>
      </w:pPr>
      <w:r>
        <w:rPr>
          <w:color w:val="222222"/>
          <w:sz w:val="22"/>
          <w:szCs w:val="22"/>
        </w:rPr>
        <w:t xml:space="preserve">These findings are original, emerging qualitative evidence from an active, ongoing research programme. They are not a substitute for the peer-reviewed literature the wider Identity After the Uniform project also draws on, and they should not be read as proof that any particular intervention — including the AURIS Identity System — resolves identity disruption. Independent academic review of this work is currently in progress and has not yet concluded.</w:t>
      </w:r>
    </w:p>
    <w:p>
      <w:pPr>
        <w:spacing w:after="160" w:line="300"/>
      </w:pPr>
      <w:r>
        <w:rPr>
          <w:color w:val="222222"/>
          <w:sz w:val="22"/>
          <w:szCs w:val="22"/>
        </w:rPr>
        <w:t xml:space="preserve">What the interviews to date do suggest is a testable hypothesis worth further research: that support for people leaving identity-defining roles may be more effective when it addresses identity, community and purpose together, rather than focusing on practical or presenting problems alone. This is the hypothesis the remaining interviews, and any future evaluation work, will continue to test.</w:t>
      </w:r>
    </w:p>
    <w:p>
      <w:pPr>
        <w:pStyle w:val="Heading1"/>
        <w:spacing w:after="200" w:before="400"/>
      </w:pPr>
      <w:r>
        <w:rPr>
          <w:b/>
          <w:bCs/>
          <w:color w:val="1B2A4A"/>
          <w:sz w:val="30"/>
          <w:szCs w:val="30"/>
        </w:rPr>
        <w:t xml:space="preserve">A Note on Safeguarding</w:t>
      </w:r>
    </w:p>
    <w:p>
      <w:pPr>
        <w:spacing w:after="160" w:line="300"/>
      </w:pPr>
      <w:r>
        <w:rPr>
          <w:color w:val="222222"/>
          <w:sz w:val="22"/>
          <w:szCs w:val="22"/>
        </w:rPr>
        <w:t xml:space="preserve">Some of the interviews in this programme include disclosures of serious distress, including past suicidal ideation and addiction. All content drawn from this research for public use carries appropriate safeguarding signposting.</w:t>
      </w:r>
    </w:p>
    <w:p>
      <w:pPr>
        <w:spacing w:after="160" w:line="300"/>
      </w:pPr>
      <w:r>
        <w:rPr>
          <w:color w:val="222222"/>
          <w:sz w:val="22"/>
          <w:szCs w:val="22"/>
        </w:rPr>
        <w:t xml:space="preserve">If you are affected by anything in this briefing:</w:t>
      </w:r>
    </w:p>
    <w:p>
      <w:pPr>
        <w:pStyle w:val="ListParagraph"/>
        <w:numPr>
          <w:ilvl w:val="0"/>
          <w:numId w:val="1"/>
        </w:numPr>
        <w:spacing w:after="100" w:line="280"/>
      </w:pPr>
      <w:r>
        <w:rPr>
          <w:color w:val="222222"/>
          <w:sz w:val="22"/>
          <w:szCs w:val="22"/>
        </w:rPr>
        <w:t xml:space="preserve">Samaritans — 116 123 (free, 24 hours a day)</w:t>
      </w:r>
    </w:p>
    <w:p>
      <w:pPr>
        <w:pStyle w:val="ListParagraph"/>
        <w:numPr>
          <w:ilvl w:val="0"/>
          <w:numId w:val="1"/>
        </w:numPr>
        <w:spacing w:after="100" w:line="280"/>
      </w:pPr>
      <w:r>
        <w:rPr>
          <w:color w:val="222222"/>
          <w:sz w:val="22"/>
          <w:szCs w:val="22"/>
        </w:rPr>
        <w:t xml:space="preserve">Veterans' Gateway — 0808 802 1212 (free support line for veterans)</w:t>
      </w:r>
    </w:p>
    <w:p>
      <w:pPr>
        <w:spacing w:after="160" w:line="300"/>
      </w:pPr>
      <w:r>
        <w:rPr>
          <w:color w:val="222222"/>
          <w:sz w:val="22"/>
          <w:szCs w:val="22"/>
        </w:rPr>
        <w:t xml:space="preserve">The AURIS app and related AURIS content are not therapy, a medical device, or a crisis service, and are not a substitute for professional support.</w:t>
      </w:r>
    </w:p>
    <w:p>
      <w:pPr>
        <w:pStyle w:val="Heading1"/>
        <w:spacing w:after="200" w:before="400"/>
      </w:pPr>
      <w:r>
        <w:rPr>
          <w:b/>
          <w:bCs/>
          <w:color w:val="1B2A4A"/>
          <w:sz w:val="30"/>
          <w:szCs w:val="30"/>
        </w:rPr>
        <w:t xml:space="preserve">About AURIS</w:t>
      </w:r>
    </w:p>
    <w:p>
      <w:pPr>
        <w:spacing w:after="160" w:line="300"/>
      </w:pPr>
      <w:r>
        <w:rPr>
          <w:color w:val="222222"/>
          <w:sz w:val="22"/>
          <w:szCs w:val="22"/>
        </w:rPr>
        <w:t xml:space="preserve">AURIS is the applied identity-reconstruction system built on this research and on Identity Performance Psychology, the original framework developed by Gemma Gardner. It is designed for anyone who has lost themselves in a role and is ready to find out who they are now — veterans, emergency services personnel, and anyone navigating a major life or career transition. Further detail on the evidence base, methodology and full citation list is available in the Parliamentary Evidence Review and Proof of Concept papers, published via Zenodo under CC BY 4.0.</w:t>
      </w:r>
    </w:p>
    <w:p>
      <w:pPr>
        <w:spacing w:after="160" w:line="300"/>
      </w:pPr>
      <w:r>
        <w:rPr>
          <w:i/>
          <w:iCs/>
          <w:color w:val="5A5A5A"/>
          <w:sz w:val="18"/>
          <w:szCs w:val="18"/>
        </w:rPr>
        <w:t xml:space="preserve">© 2026 Gemma Gardner. AURIS Identity System™, Identity Performance Psychology™ and the Identity After the Uniform research programme are the intellectual property of Gemma Gardner.</w:t>
      </w:r>
    </w:p>
    <w:sectPr>
      <w:headerReference w:type="default" r:id="rId7"/>
      <w:footerReference w:type="default" r:id="rId8"/>
      <w:pgSz w:w="11906" w:h="16838" w:orient="portrait"/>
      <w:pgMar w:top="1300" w:right="1200" w:bottom="13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A5A"/>
        <w:sz w:val="16"/>
        <w:szCs w:val="16"/>
      </w:rPr>
      <w:t xml:space="preserve">Page </w:t>
    </w:r>
    <w:r>
      <w:rPr>
        <w:color w:val="5A5A5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A5A5A"/>
        <w:sz w:val="16"/>
        <w:szCs w:val="16"/>
      </w:rPr>
      <w:t xml:space="preserve">AURIS Identity System™ · Identity After the Uniform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2026-07-02T23:01:41.881Z</dcterms:created>
  <dcterms:modified xsi:type="dcterms:W3CDTF">2026-07-02T23:01:41.901Z</dcterms:modified>
</cp:coreProperties>
</file>

<file path=docProps/custom.xml><?xml version="1.0" encoding="utf-8"?>
<Properties xmlns="http://schemas.openxmlformats.org/officeDocument/2006/custom-properties" xmlns:vt="http://schemas.openxmlformats.org/officeDocument/2006/docPropsVTypes"/>
</file>